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9" w:rsidRDefault="005B6019" w:rsidP="005B60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Forløb om symboler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Uglegårdsskolen, 2. klasse, kristendomskundskab, forløb om symboler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Udvikling af forløbet: fagfagligt/fagdidaktisk udgangspunkt. Hvad ville være interessant og relevant (bl.a. i forhold til fælles mål og årsplan) at arbejde med -&gt; forløb om symboler. Hvordan kan man integrere IT på en måde som giver nye muligheder i undervisningen og udvikler det 21. århundredes kompetencer -&gt; tage billeder på ekskursioner og bruge billederne i elevprodukter.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Er I enige og vil I tilføje noget?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Innovativ undervisning med IT i forløb om symboler i 2. klasse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Faglige mål:</w:t>
      </w:r>
    </w:p>
    <w:p w:rsidR="005B6019" w:rsidRPr="00064C3F" w:rsidRDefault="005B6019" w:rsidP="005B6019">
      <w:pPr>
        <w:pStyle w:val="Listeafsni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64C3F">
        <w:rPr>
          <w:sz w:val="28"/>
          <w:szCs w:val="28"/>
        </w:rPr>
        <w:t>Symboldannelse og genkendelse</w:t>
      </w:r>
    </w:p>
    <w:p w:rsidR="005B6019" w:rsidRPr="00064C3F" w:rsidRDefault="005B6019" w:rsidP="005B6019">
      <w:pPr>
        <w:pStyle w:val="Listeafsni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64C3F">
        <w:rPr>
          <w:sz w:val="28"/>
          <w:szCs w:val="28"/>
        </w:rPr>
        <w:t>Arbejde med symboler som spørgsmål og kategorier, der lægger op til elevernes egne tolkninger af symboler på baggrund af egne erfaringer. Symbolerne fungerer som ”tolkningsrum”. Kan understøtte eksistentiel dannelse i faget.</w:t>
      </w:r>
    </w:p>
    <w:p w:rsidR="005B6019" w:rsidRDefault="005B6019" w:rsidP="005B6019">
      <w:pPr>
        <w:pStyle w:val="Listeafsni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Symbolanalyse. </w:t>
      </w:r>
      <w:r w:rsidRPr="00064C3F">
        <w:rPr>
          <w:sz w:val="28"/>
          <w:szCs w:val="28"/>
        </w:rPr>
        <w:t>Kendskab til kristendom og islam og forskelle og ligheder. F.eks. i forhold til profeter, hellige skrifter, hellige rum, oprindelseslande/områder, historie mm.</w:t>
      </w:r>
    </w:p>
    <w:p w:rsidR="005B6019" w:rsidRPr="004F039B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Kommentar:</w:t>
      </w:r>
      <w:r>
        <w:rPr>
          <w:sz w:val="28"/>
          <w:szCs w:val="28"/>
        </w:rPr>
        <w:t xml:space="preserve"> se spørgsmål til Forenklede Fælles Mål nedenfor.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IT-materialer:</w:t>
      </w:r>
    </w:p>
    <w:p w:rsidR="005B6019" w:rsidRPr="00B5223D" w:rsidRDefault="005B6019" w:rsidP="005B6019">
      <w:pPr>
        <w:pStyle w:val="Listeafsni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B5223D">
        <w:rPr>
          <w:sz w:val="28"/>
          <w:szCs w:val="28"/>
        </w:rPr>
        <w:t>IPads</w:t>
      </w:r>
    </w:p>
    <w:p w:rsidR="005B6019" w:rsidRPr="00B5223D" w:rsidRDefault="005B6019" w:rsidP="005B6019">
      <w:pPr>
        <w:pStyle w:val="Listeafsni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B5223D">
        <w:rPr>
          <w:sz w:val="28"/>
          <w:szCs w:val="28"/>
        </w:rPr>
        <w:t>Digitale kameraer</w:t>
      </w:r>
    </w:p>
    <w:p w:rsidR="005B6019" w:rsidRPr="00B5223D" w:rsidRDefault="005B6019" w:rsidP="005B6019">
      <w:pPr>
        <w:pStyle w:val="Listeafsni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B5223D">
        <w:rPr>
          <w:sz w:val="28"/>
          <w:szCs w:val="28"/>
        </w:rPr>
        <w:t xml:space="preserve">Softwareprogrammer som </w:t>
      </w:r>
      <w:proofErr w:type="spellStart"/>
      <w:r w:rsidRPr="00B5223D">
        <w:rPr>
          <w:i/>
          <w:sz w:val="28"/>
          <w:szCs w:val="28"/>
        </w:rPr>
        <w:t>Photostory</w:t>
      </w:r>
      <w:proofErr w:type="spellEnd"/>
      <w:r w:rsidRPr="00B5223D">
        <w:rPr>
          <w:sz w:val="28"/>
          <w:szCs w:val="28"/>
        </w:rPr>
        <w:t xml:space="preserve"> og </w:t>
      </w:r>
      <w:r w:rsidRPr="00B5223D">
        <w:rPr>
          <w:i/>
          <w:sz w:val="28"/>
          <w:szCs w:val="28"/>
        </w:rPr>
        <w:t>Den talende bog</w:t>
      </w:r>
      <w:r w:rsidRPr="00B5223D">
        <w:rPr>
          <w:sz w:val="28"/>
          <w:szCs w:val="28"/>
        </w:rPr>
        <w:t>.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Ekskursioner og aktiviteter:</w:t>
      </w:r>
    </w:p>
    <w:p w:rsidR="005B6019" w:rsidRPr="0038623A" w:rsidRDefault="005B6019" w:rsidP="005B6019">
      <w:pPr>
        <w:pStyle w:val="Listeafsni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8623A">
        <w:rPr>
          <w:sz w:val="28"/>
          <w:szCs w:val="28"/>
        </w:rPr>
        <w:t>Besøg i en lokal kirke og moské</w:t>
      </w:r>
    </w:p>
    <w:p w:rsidR="005B6019" w:rsidRDefault="005B6019" w:rsidP="005B6019">
      <w:pPr>
        <w:pStyle w:val="Listeafsni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8623A">
        <w:rPr>
          <w:sz w:val="28"/>
          <w:szCs w:val="28"/>
        </w:rPr>
        <w:t xml:space="preserve">Gruppearbejde med indtaling, skriftligt arbejde, fortælling mm. gennem brug af </w:t>
      </w:r>
      <w:proofErr w:type="spellStart"/>
      <w:r w:rsidRPr="0038623A">
        <w:rPr>
          <w:sz w:val="28"/>
          <w:szCs w:val="28"/>
        </w:rPr>
        <w:t>Photostory</w:t>
      </w:r>
      <w:proofErr w:type="spellEnd"/>
      <w:r w:rsidRPr="0038623A">
        <w:rPr>
          <w:sz w:val="28"/>
          <w:szCs w:val="28"/>
        </w:rPr>
        <w:t xml:space="preserve"> og Den talende bog samt aktivitetsark, højtlæsning mm.</w:t>
      </w:r>
    </w:p>
    <w:p w:rsidR="005B6019" w:rsidRPr="0038623A" w:rsidRDefault="005B6019" w:rsidP="005B6019">
      <w:pPr>
        <w:pStyle w:val="Listeafsni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Udstillingsøvelse?</w:t>
      </w:r>
    </w:p>
    <w:p w:rsidR="005B6019" w:rsidRPr="00980F44" w:rsidRDefault="005B6019" w:rsidP="005B6019">
      <w:pPr>
        <w:pStyle w:val="Listeafsni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38623A">
        <w:rPr>
          <w:sz w:val="28"/>
          <w:szCs w:val="28"/>
        </w:rPr>
        <w:t xml:space="preserve">I forløb på et ældre klassetrin eventuelt besøg i Marmorkirken (fokus på kuppel og rundt kirkerum), den russisk-ortodokse kirke (fokus på ikoner) og den katolske domkirke (fokus på Maria-symboler) i Bredgade i København </w:t>
      </w:r>
      <w:r w:rsidRPr="0038623A">
        <w:rPr>
          <w:sz w:val="28"/>
          <w:szCs w:val="28"/>
        </w:rPr>
        <w:lastRenderedPageBreak/>
        <w:t>med mindre elevgruppe. Giver mulighed for satellit-base-kommunikation eksempelvis via synkrone teknologier.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Hvordan har I nærmere organiseret forløbet? Vil I skrive bare lidt flere stikord til aktiviteterne i forløbet? Hvor mange uger har forløbet effektivt </w:t>
      </w:r>
      <w:proofErr w:type="spellStart"/>
      <w:r>
        <w:rPr>
          <w:sz w:val="28"/>
          <w:szCs w:val="28"/>
        </w:rPr>
        <w:t>strukket</w:t>
      </w:r>
      <w:proofErr w:type="spellEnd"/>
      <w:r>
        <w:rPr>
          <w:sz w:val="28"/>
          <w:szCs w:val="28"/>
        </w:rPr>
        <w:t xml:space="preserve"> sig over?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Udfordringer:</w:t>
      </w:r>
    </w:p>
    <w:p w:rsidR="005B6019" w:rsidRPr="002B36C1" w:rsidRDefault="005B6019" w:rsidP="005B6019">
      <w:pPr>
        <w:pStyle w:val="Listeafsni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B36C1">
        <w:rPr>
          <w:sz w:val="28"/>
          <w:szCs w:val="28"/>
        </w:rPr>
        <w:t xml:space="preserve">Ekstra tidsforbrug til at </w:t>
      </w:r>
      <w:proofErr w:type="spellStart"/>
      <w:r w:rsidRPr="002B36C1">
        <w:rPr>
          <w:sz w:val="28"/>
          <w:szCs w:val="28"/>
        </w:rPr>
        <w:t>checke</w:t>
      </w:r>
      <w:proofErr w:type="spellEnd"/>
      <w:r w:rsidRPr="002B36C1">
        <w:rPr>
          <w:sz w:val="28"/>
          <w:szCs w:val="28"/>
        </w:rPr>
        <w:t>, rekvirere, downloade og introducere IT for og med eleverne</w:t>
      </w:r>
    </w:p>
    <w:p w:rsidR="005B6019" w:rsidRPr="002B36C1" w:rsidRDefault="005B6019" w:rsidP="005B6019">
      <w:pPr>
        <w:pStyle w:val="Listeafsni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B36C1">
        <w:rPr>
          <w:sz w:val="28"/>
          <w:szCs w:val="28"/>
        </w:rPr>
        <w:t>Rammerne: det er svært at lave eksempelvis indtalinger, når eleverne er for små til at blive sendt ud i grupper, hvilket på samme tid er nødvendigt for at undgå støj på lydoptagelser</w:t>
      </w:r>
    </w:p>
    <w:p w:rsidR="005B6019" w:rsidRPr="002B36C1" w:rsidRDefault="005B6019" w:rsidP="005B6019">
      <w:pPr>
        <w:pStyle w:val="Listeafsni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B36C1">
        <w:rPr>
          <w:sz w:val="28"/>
          <w:szCs w:val="28"/>
        </w:rPr>
        <w:t>At balancere undervisningen mellem de forskellige faglige områder, f.eks. religionsforståelse, etiske dilemmaer og kendskab til symboldannelse</w:t>
      </w:r>
      <w:r>
        <w:rPr>
          <w:sz w:val="28"/>
          <w:szCs w:val="28"/>
        </w:rPr>
        <w:t xml:space="preserve"> (konkrete symboler fra udvalgte religioner, symboler som sådan, komparativt, historisk udvikling)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Har I mere at tilføje?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Forenklede Fælles Mål: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Se kompetenceområdet fra Livsfilosofi og etik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Se kompetenceområdet Kristendom (-&gt; kristne udtryk)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Se IT og medier (udvikling og brug af digitale kompetencer) i læseplan for faget kristendomskundskab</w:t>
      </w:r>
    </w:p>
    <w:p w:rsidR="005B6019" w:rsidRDefault="005B6019" w:rsidP="005B6019">
      <w:pPr>
        <w:rPr>
          <w:sz w:val="28"/>
          <w:szCs w:val="28"/>
        </w:rPr>
      </w:pPr>
      <w:r w:rsidRPr="00613F50">
        <w:rPr>
          <w:b/>
          <w:sz w:val="28"/>
          <w:szCs w:val="28"/>
        </w:rPr>
        <w:t>Spørgsmål:</w:t>
      </w:r>
      <w:r>
        <w:rPr>
          <w:sz w:val="28"/>
          <w:szCs w:val="28"/>
        </w:rPr>
        <w:t xml:space="preserve"> Hvilke videns-, færdigheds- og kompetencemål vil I fremhæve fra Forenklede Fælles Mål for kristendomskundskab? Altså hvilken viden om symboler (religion mv.), hvilke færdigheder i arbejdet med symboler, hvilke kompetencer vil I fremhæve? Hvilke overordnede dannelsesmål har I eventuelt med forløbet (f.eks. inspireret af folkeskolens formål)?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IT-understøttede færdigheder:</w:t>
      </w:r>
    </w:p>
    <w:p w:rsidR="005B6019" w:rsidRPr="001A2FFE" w:rsidRDefault="005B6019" w:rsidP="005B6019">
      <w:pPr>
        <w:pStyle w:val="Listeafsnit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A2FFE">
        <w:rPr>
          <w:sz w:val="28"/>
          <w:szCs w:val="28"/>
        </w:rPr>
        <w:t>Tage billeder på digitale kameraer</w:t>
      </w:r>
    </w:p>
    <w:p w:rsidR="005B6019" w:rsidRPr="001A2FFE" w:rsidRDefault="005B6019" w:rsidP="005B6019">
      <w:pPr>
        <w:pStyle w:val="Listeafsnit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A2FFE">
        <w:rPr>
          <w:sz w:val="28"/>
          <w:szCs w:val="28"/>
        </w:rPr>
        <w:t>Overføre til og redigere billede og tekst i udvalgte programmer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Mere her?</w:t>
      </w:r>
    </w:p>
    <w:p w:rsidR="005B6019" w:rsidRDefault="005B6019" w:rsidP="005B6019">
      <w:pPr>
        <w:rPr>
          <w:sz w:val="28"/>
          <w:szCs w:val="28"/>
        </w:rPr>
      </w:pPr>
    </w:p>
    <w:p w:rsidR="005B6019" w:rsidRPr="0038623A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Det 21. århundredes kompetencer: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At kunne bruge IT som et læringsunderstøttende redskab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lastRenderedPageBreak/>
        <w:t>Vidensopbygning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Samarbejde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Selvregulering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Evaluering af egen læring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Kommunikativ kompetence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At kunne arbejde problemorienteret</w:t>
      </w:r>
    </w:p>
    <w:p w:rsidR="005B6019" w:rsidRPr="004930DB" w:rsidRDefault="005B6019" w:rsidP="005B6019">
      <w:pPr>
        <w:pStyle w:val="Listeafsni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4930DB">
        <w:rPr>
          <w:sz w:val="28"/>
          <w:szCs w:val="28"/>
        </w:rPr>
        <w:t>Global bevidsthed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hvilke af disse har I haft fokus på i forløbet? Hænger sammen med næste kategori.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Innovativ undervisning med it:</w:t>
      </w:r>
    </w:p>
    <w:p w:rsidR="005B6019" w:rsidRPr="00D2190E" w:rsidRDefault="005B6019" w:rsidP="005B6019">
      <w:pPr>
        <w:pStyle w:val="Listeafsnit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D2190E">
        <w:rPr>
          <w:sz w:val="28"/>
          <w:szCs w:val="28"/>
        </w:rPr>
        <w:t>Høj grad af elevaktivitet med fagligt sigte</w:t>
      </w:r>
    </w:p>
    <w:p w:rsidR="005B6019" w:rsidRPr="00D2190E" w:rsidRDefault="005B6019" w:rsidP="005B6019">
      <w:pPr>
        <w:pStyle w:val="Listeafsnit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D2190E">
        <w:rPr>
          <w:sz w:val="28"/>
          <w:szCs w:val="28"/>
        </w:rPr>
        <w:t>Problembaseret</w:t>
      </w:r>
    </w:p>
    <w:p w:rsidR="005B6019" w:rsidRPr="00D2190E" w:rsidRDefault="005B6019" w:rsidP="005B6019">
      <w:pPr>
        <w:pStyle w:val="Listeafsnit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D2190E">
        <w:rPr>
          <w:sz w:val="28"/>
          <w:szCs w:val="28"/>
        </w:rPr>
        <w:t>Kollaborativ</w:t>
      </w:r>
      <w:proofErr w:type="spellEnd"/>
    </w:p>
    <w:p w:rsidR="005B6019" w:rsidRPr="00D2190E" w:rsidRDefault="005B6019" w:rsidP="005B6019">
      <w:pPr>
        <w:pStyle w:val="Listeafsnit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D2190E">
        <w:rPr>
          <w:sz w:val="28"/>
          <w:szCs w:val="28"/>
        </w:rPr>
        <w:t>Inddrager elevernes kommunikative kompetencer</w:t>
      </w:r>
    </w:p>
    <w:p w:rsidR="005B6019" w:rsidRPr="00D2190E" w:rsidRDefault="005B6019" w:rsidP="005B6019">
      <w:pPr>
        <w:pStyle w:val="Listeafsnit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D2190E">
        <w:rPr>
          <w:sz w:val="28"/>
          <w:szCs w:val="28"/>
        </w:rPr>
        <w:t>Kobler til verden uden for skolen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Hvilke af disse it-understøttede læreprocesser har I arbejdet med i undervisningen og hvordan?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 xml:space="preserve">Redskabsperspektivet: iPads, digitale kameraer og udvalgte programmer. Billeder on location kobler til autentisk miljø. Class </w:t>
      </w:r>
      <w:proofErr w:type="spellStart"/>
      <w:r>
        <w:rPr>
          <w:sz w:val="28"/>
          <w:szCs w:val="28"/>
        </w:rPr>
        <w:t>sourcing</w:t>
      </w:r>
      <w:proofErr w:type="spellEnd"/>
      <w:r>
        <w:rPr>
          <w:sz w:val="28"/>
          <w:szCs w:val="28"/>
        </w:rPr>
        <w:t xml:space="preserve"> (distribueret læring - produktion af mange forskellige data).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Tekst/medieperspektivet: elevgenerering af nyt indhold (billeder taget af symboler i kirke og moské og anvendt i udvalgte programmer)</w:t>
      </w:r>
    </w:p>
    <w:p w:rsidR="005B6019" w:rsidRDefault="005B6019" w:rsidP="005B6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Literacyperspektivet</w:t>
      </w:r>
      <w:proofErr w:type="spellEnd"/>
      <w:r>
        <w:rPr>
          <w:sz w:val="28"/>
          <w:szCs w:val="28"/>
        </w:rPr>
        <w:t>: ikke i fokus i forløbet</w:t>
      </w:r>
    </w:p>
    <w:p w:rsidR="005B6019" w:rsidRDefault="005B6019" w:rsidP="005B6019">
      <w:pPr>
        <w:rPr>
          <w:sz w:val="28"/>
          <w:szCs w:val="28"/>
        </w:rPr>
      </w:pPr>
      <w:r w:rsidRPr="00F52E16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Er I enige i ovenstående og vil I tilføje noget?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Brug af redskaber: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 xml:space="preserve">Analysemodeller: SAMR-modellen og model for læringsmål: koble faglige (viden, færdigheder og kompetencer), IKT (redskab, tekst og </w:t>
      </w:r>
      <w:proofErr w:type="spellStart"/>
      <w:r>
        <w:rPr>
          <w:sz w:val="28"/>
          <w:szCs w:val="28"/>
        </w:rPr>
        <w:t>literacy</w:t>
      </w:r>
      <w:proofErr w:type="spellEnd"/>
      <w:r>
        <w:rPr>
          <w:sz w:val="28"/>
          <w:szCs w:val="28"/>
        </w:rPr>
        <w:t>) og almene (samarbejde, selvstyring og evaluering af egen læring) mål.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Refleksionsmøder i aktionslæringsforløb: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CC6905">
        <w:rPr>
          <w:sz w:val="28"/>
          <w:szCs w:val="28"/>
        </w:rPr>
        <w:t>bservationsdata: elevproduktioner, observationsskema</w:t>
      </w:r>
      <w:r>
        <w:rPr>
          <w:sz w:val="28"/>
          <w:szCs w:val="28"/>
        </w:rPr>
        <w:t>.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Problem/udfordring -&gt; interventioner/eksperimenter/didaktisk design -&gt; observationer -&gt; didaktiske samtaler -&gt; didaktiske forslag/didaktisk teori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Refleksionsnoter fra første møde: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Sara og Camilla har ved tidligere observationer registreret, at eleverne til tider går i stå i mødet med udfordringer af teknisk karakter (logge på computer, gennem dokumenter osv.) eller ved manglende information om stoffet de arbejder med (hvad er Mekka</w:t>
      </w:r>
      <w:proofErr w:type="gramStart"/>
      <w:r>
        <w:rPr>
          <w:sz w:val="28"/>
          <w:szCs w:val="28"/>
        </w:rPr>
        <w:t>?,</w:t>
      </w:r>
      <w:proofErr w:type="gramEnd"/>
      <w:r>
        <w:rPr>
          <w:sz w:val="28"/>
          <w:szCs w:val="28"/>
        </w:rPr>
        <w:t xml:space="preserve"> hvad er en talerstol?, hvad er ramadan? osv.).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Mål for faglig udvikling i efterfølgende observationer: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 xml:space="preserve">At øge elevernes handlemuligheder, når de møder barrierer at teknisk og </w:t>
      </w:r>
      <w:proofErr w:type="spellStart"/>
      <w:r>
        <w:rPr>
          <w:sz w:val="28"/>
          <w:szCs w:val="28"/>
        </w:rPr>
        <w:t>vidensmæssig</w:t>
      </w:r>
      <w:proofErr w:type="spellEnd"/>
      <w:r>
        <w:rPr>
          <w:sz w:val="28"/>
          <w:szCs w:val="28"/>
        </w:rPr>
        <w:t xml:space="preserve"> karakter.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Centrale kompetencer:</w:t>
      </w:r>
    </w:p>
    <w:p w:rsidR="005B6019" w:rsidRPr="0078015F" w:rsidRDefault="005B6019" w:rsidP="005B6019">
      <w:pPr>
        <w:pStyle w:val="Listeafsnit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78015F">
        <w:rPr>
          <w:sz w:val="28"/>
          <w:szCs w:val="28"/>
        </w:rPr>
        <w:t>Vidensopbygning (at kunne finde og tilegne sig ny viden)</w:t>
      </w:r>
    </w:p>
    <w:p w:rsidR="005B6019" w:rsidRPr="0078015F" w:rsidRDefault="005B6019" w:rsidP="005B6019">
      <w:pPr>
        <w:pStyle w:val="Listeafsnit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78015F">
        <w:rPr>
          <w:sz w:val="28"/>
          <w:szCs w:val="28"/>
        </w:rPr>
        <w:t>Samarbejde (at kunne tage ansvar for både eget og andres arbejde i en gruppe)</w:t>
      </w: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Forudsætninger:</w:t>
      </w:r>
    </w:p>
    <w:p w:rsidR="005B6019" w:rsidRPr="0078015F" w:rsidRDefault="005B6019" w:rsidP="005B6019">
      <w:pPr>
        <w:pStyle w:val="Listeafsnit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78015F">
        <w:rPr>
          <w:sz w:val="28"/>
          <w:szCs w:val="28"/>
        </w:rPr>
        <w:t>Selvregulering (at kunne motivere sig selv og gennemføre en opgave)</w:t>
      </w:r>
    </w:p>
    <w:p w:rsidR="005B6019" w:rsidRDefault="005B6019" w:rsidP="005B6019">
      <w:pPr>
        <w:pStyle w:val="Listeafsnit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78015F">
        <w:rPr>
          <w:sz w:val="28"/>
          <w:szCs w:val="28"/>
        </w:rPr>
        <w:t>At kunne arbejde problemorienteret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Nye mål:</w:t>
      </w:r>
    </w:p>
    <w:p w:rsidR="005B6019" w:rsidRPr="003C66F4" w:rsidRDefault="005B6019" w:rsidP="005B6019">
      <w:pPr>
        <w:pStyle w:val="Listeafsnit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C66F4">
        <w:rPr>
          <w:sz w:val="28"/>
          <w:szCs w:val="28"/>
        </w:rPr>
        <w:t>Det skal være enkelt at spørge en kammerat</w:t>
      </w:r>
      <w:r>
        <w:rPr>
          <w:sz w:val="28"/>
          <w:szCs w:val="28"/>
        </w:rPr>
        <w:t>,</w:t>
      </w:r>
      <w:r w:rsidRPr="003C66F4">
        <w:rPr>
          <w:sz w:val="28"/>
          <w:szCs w:val="28"/>
        </w:rPr>
        <w:t xml:space="preserve"> og der skal være øget samarbejde om teksten i bøgerne, selv o</w:t>
      </w:r>
      <w:r>
        <w:rPr>
          <w:sz w:val="28"/>
          <w:szCs w:val="28"/>
        </w:rPr>
        <w:t>m det er et individuelt projekt</w:t>
      </w:r>
    </w:p>
    <w:p w:rsidR="005B6019" w:rsidRPr="003C66F4" w:rsidRDefault="005B6019" w:rsidP="005B6019">
      <w:pPr>
        <w:pStyle w:val="Listeafsnit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C66F4">
        <w:rPr>
          <w:sz w:val="28"/>
          <w:szCs w:val="28"/>
        </w:rPr>
        <w:t>Det skal være nemt at finde faglig inspiration og viden</w:t>
      </w:r>
      <w:r>
        <w:rPr>
          <w:sz w:val="28"/>
          <w:szCs w:val="28"/>
        </w:rPr>
        <w:t>,</w:t>
      </w:r>
      <w:r w:rsidRPr="003C66F4">
        <w:rPr>
          <w:sz w:val="28"/>
          <w:szCs w:val="28"/>
        </w:rPr>
        <w:t xml:space="preserve"> om det eleven er i gang med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Ny intervention:</w:t>
      </w:r>
    </w:p>
    <w:p w:rsidR="005B6019" w:rsidRPr="00CB0005" w:rsidRDefault="005B6019" w:rsidP="005B6019">
      <w:pPr>
        <w:pStyle w:val="Listeafsnit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CB0005">
        <w:rPr>
          <w:sz w:val="28"/>
          <w:szCs w:val="28"/>
        </w:rPr>
        <w:t>Eleverne skal arbejde sammen to-og-to om den ene elevs bog. De arbejder med én bog i én lektion. Hæmmer eller fremmer det muligheden for samarbejde og aktivitet (handlemuligheder) i mødet med elevernes faglige udfordringer/barrierer?</w:t>
      </w:r>
    </w:p>
    <w:p w:rsidR="005B6019" w:rsidRDefault="005B6019" w:rsidP="005B6019">
      <w:pPr>
        <w:pStyle w:val="Listeafsnit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CB0005">
        <w:rPr>
          <w:sz w:val="28"/>
          <w:szCs w:val="28"/>
        </w:rPr>
        <w:t xml:space="preserve">Der skal være flere fagbøger og eleverne skal have øget opmærksomhed på og mulighed for </w:t>
      </w:r>
      <w:proofErr w:type="spellStart"/>
      <w:r w:rsidRPr="00CB0005">
        <w:rPr>
          <w:sz w:val="28"/>
          <w:szCs w:val="28"/>
        </w:rPr>
        <w:t>videnstilegnelse</w:t>
      </w:r>
      <w:proofErr w:type="spellEnd"/>
      <w:r w:rsidRPr="00CB0005">
        <w:rPr>
          <w:sz w:val="28"/>
          <w:szCs w:val="28"/>
        </w:rPr>
        <w:t xml:space="preserve"> herigennem.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Diskussion til mødet:</w:t>
      </w:r>
    </w:p>
    <w:p w:rsidR="005B6019" w:rsidRPr="00582917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t>Eleverne arbejdede sammen to-og-to om den ene elevs bog. Hæmmer eller fremmer det muligheden for samarbejde og aktivitet (handlemuligheder) i mødet med elevernes faglige udfordringer/barrierer?</w:t>
      </w:r>
    </w:p>
    <w:p w:rsidR="005B6019" w:rsidRPr="00582917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lastRenderedPageBreak/>
        <w:t xml:space="preserve">Skabte det øget opmærksomhed på og mulighed for </w:t>
      </w:r>
      <w:proofErr w:type="spellStart"/>
      <w:r w:rsidRPr="00582917">
        <w:rPr>
          <w:sz w:val="28"/>
          <w:szCs w:val="28"/>
        </w:rPr>
        <w:t>videnstilegnelse</w:t>
      </w:r>
      <w:proofErr w:type="spellEnd"/>
      <w:r w:rsidRPr="00582917">
        <w:rPr>
          <w:sz w:val="28"/>
          <w:szCs w:val="28"/>
        </w:rPr>
        <w:t xml:space="preserve">, at Sara valgte at vise opslag om islam fra religionsfaget.dk på </w:t>
      </w:r>
      <w:proofErr w:type="spellStart"/>
      <w:r w:rsidRPr="00582917">
        <w:rPr>
          <w:sz w:val="28"/>
          <w:szCs w:val="28"/>
        </w:rPr>
        <w:t>smartboard</w:t>
      </w:r>
      <w:proofErr w:type="spellEnd"/>
      <w:r w:rsidRPr="00582917">
        <w:rPr>
          <w:sz w:val="28"/>
          <w:szCs w:val="28"/>
        </w:rPr>
        <w:t xml:space="preserve"> (fandt opslag frem i starten af </w:t>
      </w:r>
      <w:r>
        <w:rPr>
          <w:sz w:val="28"/>
          <w:szCs w:val="28"/>
        </w:rPr>
        <w:t xml:space="preserve">lektionen, så eleverne kunne </w:t>
      </w:r>
      <w:r w:rsidRPr="00582917">
        <w:rPr>
          <w:sz w:val="28"/>
          <w:szCs w:val="28"/>
        </w:rPr>
        <w:t xml:space="preserve">kigge op og orientere sig, </w:t>
      </w:r>
      <w:r>
        <w:rPr>
          <w:sz w:val="28"/>
          <w:szCs w:val="28"/>
        </w:rPr>
        <w:t xml:space="preserve">når de havde brug for det, </w:t>
      </w:r>
      <w:r w:rsidRPr="00582917">
        <w:rPr>
          <w:sz w:val="28"/>
          <w:szCs w:val="28"/>
        </w:rPr>
        <w:t>mens de sad og arbejdede ved deres computer)?</w:t>
      </w:r>
    </w:p>
    <w:p w:rsidR="005B6019" w:rsidRPr="00582917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t>Hvad tabes eventuelt, når eleverne ikke arbejder individuelt?</w:t>
      </w:r>
    </w:p>
    <w:p w:rsidR="005B6019" w:rsidRPr="00582917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t>Bruger eleverne hinandens kompetencer og færdigheder i samarbejdet om den ene elevs bog?</w:t>
      </w:r>
    </w:p>
    <w:p w:rsidR="005B6019" w:rsidRPr="00582917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t>Bliver nogle elever passive i samarbejdet, og hvad kan man gøre ved det?</w:t>
      </w:r>
    </w:p>
    <w:p w:rsidR="005B6019" w:rsidRDefault="005B6019" w:rsidP="005B6019">
      <w:pPr>
        <w:pStyle w:val="Listeafsnit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82917">
        <w:rPr>
          <w:sz w:val="28"/>
          <w:szCs w:val="28"/>
        </w:rPr>
        <w:t>Hvordan kan man fastholde elevernes opmærksomhed om opgaven i hele lektionen?</w:t>
      </w:r>
    </w:p>
    <w:p w:rsidR="005B6019" w:rsidRDefault="005B6019" w:rsidP="005B6019">
      <w:pPr>
        <w:rPr>
          <w:sz w:val="28"/>
          <w:szCs w:val="28"/>
        </w:rPr>
      </w:pPr>
      <w:r w:rsidRPr="002C4A9B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Har I mere at tilføje til vores diskussioner/refleksioner til mødet?</w:t>
      </w:r>
    </w:p>
    <w:p w:rsidR="005B6019" w:rsidRDefault="005B6019" w:rsidP="005B6019">
      <w:pPr>
        <w:rPr>
          <w:sz w:val="28"/>
          <w:szCs w:val="28"/>
        </w:rPr>
      </w:pPr>
    </w:p>
    <w:p w:rsidR="005B6019" w:rsidRDefault="005B6019" w:rsidP="005B6019">
      <w:pPr>
        <w:rPr>
          <w:sz w:val="28"/>
          <w:szCs w:val="28"/>
        </w:rPr>
      </w:pPr>
      <w:r>
        <w:rPr>
          <w:sz w:val="28"/>
          <w:szCs w:val="28"/>
        </w:rPr>
        <w:t>Gevinster ved brug af IT i undervisningen i form af, at eleverne har taget billeder on location og brugt dem efterfølgende i udvalgte programmer:</w:t>
      </w:r>
    </w:p>
    <w:p w:rsidR="005B6019" w:rsidRPr="00EF1142" w:rsidRDefault="005B6019" w:rsidP="005B6019">
      <w:pPr>
        <w:pStyle w:val="Listeafsnit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EF1142">
        <w:rPr>
          <w:sz w:val="28"/>
          <w:szCs w:val="28"/>
        </w:rPr>
        <w:t>Øget ejerskab</w:t>
      </w:r>
    </w:p>
    <w:p w:rsidR="005B6019" w:rsidRPr="00EF1142" w:rsidRDefault="005B6019" w:rsidP="005B6019">
      <w:pPr>
        <w:pStyle w:val="Listeafsnit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EF1142">
        <w:rPr>
          <w:sz w:val="28"/>
          <w:szCs w:val="28"/>
        </w:rPr>
        <w:t>Se symbolerne i en virkelig kontekst</w:t>
      </w:r>
    </w:p>
    <w:p w:rsidR="005B6019" w:rsidRPr="00662943" w:rsidRDefault="005B6019" w:rsidP="005B6019">
      <w:pPr>
        <w:rPr>
          <w:sz w:val="28"/>
          <w:szCs w:val="28"/>
        </w:rPr>
      </w:pPr>
      <w:r w:rsidRPr="002C4A9B">
        <w:rPr>
          <w:b/>
          <w:sz w:val="28"/>
          <w:szCs w:val="28"/>
          <w:u w:val="single"/>
        </w:rPr>
        <w:t>Spørgsmål:</w:t>
      </w:r>
      <w:r>
        <w:rPr>
          <w:sz w:val="28"/>
          <w:szCs w:val="28"/>
        </w:rPr>
        <w:t xml:space="preserve"> Hvad kan tilføjes?</w:t>
      </w:r>
    </w:p>
    <w:p w:rsidR="00A77BDE" w:rsidRPr="005B6019" w:rsidRDefault="00A77BDE" w:rsidP="005B6019"/>
    <w:sectPr w:rsidR="00A77BDE" w:rsidRPr="005B601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0" w:rsidRDefault="00AD0410" w:rsidP="00567E92">
      <w:r>
        <w:separator/>
      </w:r>
    </w:p>
  </w:endnote>
  <w:endnote w:type="continuationSeparator" w:id="0">
    <w:p w:rsidR="00AD0410" w:rsidRDefault="00AD0410" w:rsidP="005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3E" w:rsidRDefault="00567E92" w:rsidP="009D613E">
    <w:pPr>
      <w:pStyle w:val="Sidefod"/>
      <w:jc w:val="center"/>
    </w:pPr>
    <w:r>
      <w:br/>
    </w:r>
  </w:p>
  <w:sdt>
    <w:sdtPr>
      <w:id w:val="-1935967377"/>
      <w:docPartObj>
        <w:docPartGallery w:val="Page Numbers (Bottom of Page)"/>
        <w:docPartUnique/>
      </w:docPartObj>
    </w:sdtPr>
    <w:sdtContent>
      <w:p w:rsidR="009D613E" w:rsidRDefault="009D613E" w:rsidP="009D613E">
        <w:pPr>
          <w:pStyle w:val="Sidefod"/>
          <w:jc w:val="center"/>
        </w:pPr>
        <w:r>
          <w:t xml:space="preserve">IT-fagdidaktik og lærerkompetencer i et organisatorisk perspektiv </w:t>
        </w:r>
      </w:p>
      <w:p w:rsidR="009D613E" w:rsidRDefault="009D613E" w:rsidP="009D613E">
        <w:pPr>
          <w:pStyle w:val="Sidefod"/>
        </w:pPr>
      </w:p>
    </w:sdtContent>
  </w:sdt>
  <w:p w:rsidR="00567E92" w:rsidRDefault="009D613E" w:rsidP="009D613E">
    <w:pPr>
      <w:pStyle w:val="Sidefod"/>
      <w:jc w:val="center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0" w:rsidRDefault="00AD0410" w:rsidP="00567E92">
      <w:r>
        <w:separator/>
      </w:r>
    </w:p>
  </w:footnote>
  <w:footnote w:type="continuationSeparator" w:id="0">
    <w:p w:rsidR="00AD0410" w:rsidRDefault="00AD0410" w:rsidP="005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92" w:rsidRDefault="00567E92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01AD3" wp14:editId="2DF1C4E1">
          <wp:simplePos x="0" y="0"/>
          <wp:positionH relativeFrom="margin">
            <wp:posOffset>5310505</wp:posOffset>
          </wp:positionH>
          <wp:positionV relativeFrom="margin">
            <wp:posOffset>-1009015</wp:posOffset>
          </wp:positionV>
          <wp:extent cx="1333500" cy="873125"/>
          <wp:effectExtent l="0" t="0" r="0" b="3175"/>
          <wp:wrapSquare wrapText="bothSides"/>
          <wp:docPr id="1" name="Billede 1" descr="C:\Users\TYSJ133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SJ1335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FAF"/>
    <w:multiLevelType w:val="hybridMultilevel"/>
    <w:tmpl w:val="634A8AAA"/>
    <w:lvl w:ilvl="0" w:tplc="FBB867E6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E546F"/>
    <w:multiLevelType w:val="multilevel"/>
    <w:tmpl w:val="F006D6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5317F3"/>
    <w:multiLevelType w:val="multilevel"/>
    <w:tmpl w:val="1F24FD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751D69"/>
    <w:multiLevelType w:val="multilevel"/>
    <w:tmpl w:val="CA48D23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1A754C"/>
    <w:multiLevelType w:val="hybridMultilevel"/>
    <w:tmpl w:val="7FC2B5F6"/>
    <w:lvl w:ilvl="0" w:tplc="D33C3DF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4606"/>
    <w:multiLevelType w:val="multilevel"/>
    <w:tmpl w:val="6A9417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E27D5F"/>
    <w:multiLevelType w:val="multilevel"/>
    <w:tmpl w:val="0A628BF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535199"/>
    <w:multiLevelType w:val="multilevel"/>
    <w:tmpl w:val="B71406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5F05B24"/>
    <w:multiLevelType w:val="multilevel"/>
    <w:tmpl w:val="A25E8E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263B88"/>
    <w:multiLevelType w:val="multilevel"/>
    <w:tmpl w:val="CB10B11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6A2A07"/>
    <w:multiLevelType w:val="multilevel"/>
    <w:tmpl w:val="D1C887A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DE010E"/>
    <w:multiLevelType w:val="multilevel"/>
    <w:tmpl w:val="B0B6CF9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184159"/>
    <w:multiLevelType w:val="multilevel"/>
    <w:tmpl w:val="3DB46E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677D2B"/>
    <w:multiLevelType w:val="multilevel"/>
    <w:tmpl w:val="99D86E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0C0FDC"/>
    <w:multiLevelType w:val="multilevel"/>
    <w:tmpl w:val="06D8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2"/>
    <w:rsid w:val="004D5786"/>
    <w:rsid w:val="00524644"/>
    <w:rsid w:val="00567E92"/>
    <w:rsid w:val="005B6019"/>
    <w:rsid w:val="007D54DE"/>
    <w:rsid w:val="009D613E"/>
    <w:rsid w:val="00A77BDE"/>
    <w:rsid w:val="00A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D54D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D54D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54DE"/>
    <w:rPr>
      <w:rFonts w:ascii="Franklin Gothic Book" w:eastAsia="Times New Roman" w:hAnsi="Franklin Gothic Book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5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D54D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D54D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54DE"/>
    <w:rPr>
      <w:rFonts w:ascii="Franklin Gothic Book" w:eastAsia="Times New Roman" w:hAnsi="Franklin Gothic Book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5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Marianne Georgsen VIA</cp:lastModifiedBy>
  <cp:revision>3</cp:revision>
  <dcterms:created xsi:type="dcterms:W3CDTF">2014-11-13T16:01:00Z</dcterms:created>
  <dcterms:modified xsi:type="dcterms:W3CDTF">2014-11-20T13:50:00Z</dcterms:modified>
</cp:coreProperties>
</file>